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-457834</wp:posOffset>
            </wp:positionV>
            <wp:extent cx="9090660" cy="66751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0660" cy="6675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b64926" w:space="0" w:sz="8" w:val="single"/>
          <w:bottom w:color="e84c22" w:space="0" w:sz="8" w:val="single"/>
          <w:right w:color="b64926" w:space="0" w:sz="8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righ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987200"/>
              </w:rPr>
            </w:pPr>
            <w:r w:rsidDel="00000000" w:rsidR="00000000" w:rsidRPr="00000000">
              <w:rPr>
                <w:b w:val="0"/>
                <w:color w:val="987200"/>
                <w:rtl w:val="0"/>
              </w:rPr>
              <w:t xml:space="preserve">1.</w:t>
            </w:r>
            <w:r w:rsidDel="00000000" w:rsidR="00000000" w:rsidRPr="00000000">
              <w:rPr>
                <w:color w:val="987200"/>
                <w:rtl w:val="0"/>
              </w:rPr>
              <w:t xml:space="preserve"> TEMA </w:t>
            </w:r>
          </w:p>
        </w:tc>
        <w:tc>
          <w:tcPr>
            <w:tcBorders>
              <w:lef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987200"/>
                <w:sz w:val="28"/>
                <w:szCs w:val="28"/>
              </w:rPr>
            </w:pPr>
            <w:r w:rsidDel="00000000" w:rsidR="00000000" w:rsidRPr="00000000">
              <w:rPr>
                <w:color w:val="987200"/>
                <w:sz w:val="28"/>
                <w:szCs w:val="28"/>
                <w:rtl w:val="0"/>
              </w:rPr>
              <w:t xml:space="preserve">Razlistaj se</w:t>
            </w:r>
          </w:p>
        </w:tc>
      </w:tr>
      <w:tr>
        <w:trPr>
          <w:trHeight w:val="532" w:hRule="atLeast"/>
        </w:trPr>
        <w:tc>
          <w:tcPr>
            <w:tcBorders>
              <w:righ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color w:val="987200"/>
              </w:rPr>
            </w:pPr>
            <w:r w:rsidDel="00000000" w:rsidR="00000000" w:rsidRPr="00000000">
              <w:rPr>
                <w:color w:val="987200"/>
                <w:rtl w:val="0"/>
              </w:rPr>
              <w:t xml:space="preserve">TEKSTOVI</w:t>
            </w:r>
          </w:p>
        </w:tc>
        <w:tc>
          <w:tcPr>
            <w:tcBorders>
              <w:left w:color="987200" w:space="0" w:sz="4" w:val="dashed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Antoine de Saint-Exupery, Mali princ, Zvonimir Balog, Jutro, Marina Braović Hajdarović, Dupla briga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b64926" w:space="0" w:sz="8" w:val="single"/>
          <w:bottom w:color="000000" w:space="0" w:sz="0" w:val="nil"/>
          <w:right w:color="b64926" w:space="0" w:sz="8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broj sati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vrijeme ostvarivanja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postotna zastupljenost predmetnih područja</w:t>
            </w:r>
          </w:p>
        </w:tc>
      </w:tr>
      <w:tr>
        <w:trPr>
          <w:trHeight w:val="625" w:hRule="atLeast"/>
        </w:trPr>
        <w:tc>
          <w:tcPr/>
          <w:p w:rsidR="00000000" w:rsidDel="00000000" w:rsidP="00000000" w:rsidRDefault="00000000" w:rsidRPr="00000000" w14:paraId="0000001D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Hrvatski jezik i komunikacija – 50 %</w:t>
            </w:r>
          </w:p>
          <w:p w:rsidR="00000000" w:rsidDel="00000000" w:rsidP="00000000" w:rsidRDefault="00000000" w:rsidRPr="00000000" w14:paraId="00000020">
            <w:pPr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Književnost i stvaralaštvo – 40 %</w:t>
            </w:r>
          </w:p>
          <w:p w:rsidR="00000000" w:rsidDel="00000000" w:rsidP="00000000" w:rsidRDefault="00000000" w:rsidRPr="00000000" w14:paraId="00000021">
            <w:pPr>
              <w:spacing w:after="60" w:lineRule="auto"/>
              <w:ind w:left="113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Kultura i mediji – 10%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4.0" w:type="dxa"/>
        <w:jc w:val="left"/>
        <w:tblInd w:w="-618.0" w:type="dxa"/>
        <w:tblBorders>
          <w:top w:color="987200" w:space="0" w:sz="4" w:val="single"/>
          <w:left w:color="987200" w:space="0" w:sz="4" w:val="single"/>
          <w:bottom w:color="987200" w:space="0" w:sz="4" w:val="single"/>
          <w:right w:color="987200" w:space="0" w:sz="4" w:val="single"/>
          <w:insideH w:color="987200" w:space="0" w:sz="4" w:val="dashed"/>
          <w:insideV w:color="987200" w:space="0" w:sz="4" w:val="dashed"/>
        </w:tblBorders>
        <w:tblLayout w:type="fixed"/>
        <w:tblLook w:val="04A0"/>
      </w:tblPr>
      <w:tblGrid>
        <w:gridCol w:w="2881"/>
        <w:gridCol w:w="993"/>
        <w:gridCol w:w="1842"/>
        <w:gridCol w:w="6946"/>
        <w:gridCol w:w="2552"/>
        <w:tblGridChange w:id="0">
          <w:tblGrid>
            <w:gridCol w:w="2881"/>
            <w:gridCol w:w="993"/>
            <w:gridCol w:w="1842"/>
            <w:gridCol w:w="6946"/>
            <w:gridCol w:w="2552"/>
          </w:tblGrid>
        </w:tblGridChange>
      </w:tblGrid>
      <w:tr>
        <w:trPr>
          <w:trHeight w:val="479" w:hRule="atLeast"/>
        </w:trPr>
        <w:tc>
          <w:tcPr>
            <w:tcBorders>
              <w:top w:color="987200" w:space="0" w:sz="4" w:val="dashed"/>
              <w:right w:color="ffffff" w:space="0" w:sz="4" w:val="single"/>
            </w:tcBorders>
            <w:shd w:fill="987200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left="17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tcBorders>
              <w:top w:color="987200" w:space="0" w:sz="4" w:val="dashed"/>
              <w:left w:color="ffffff" w:space="0" w:sz="4" w:val="single"/>
              <w:right w:color="ffffff" w:space="0" w:sz="4" w:val="single"/>
            </w:tcBorders>
            <w:shd w:fill="987200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BROJ SATI</w:t>
            </w:r>
          </w:p>
        </w:tc>
        <w:tc>
          <w:tcPr>
            <w:tcBorders>
              <w:top w:color="987200" w:space="0" w:sz="4" w:val="dashed"/>
              <w:left w:color="ffffff" w:space="0" w:sz="4" w:val="single"/>
              <w:right w:color="ffffff" w:space="0" w:sz="4" w:val="single"/>
            </w:tcBorders>
            <w:shd w:fill="987200" w:val="clea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dashed"/>
              <w:left w:color="ffffff" w:space="0" w:sz="4" w:val="single"/>
              <w:right w:color="ffffff" w:space="0" w:sz="4" w:val="single"/>
            </w:tcBorders>
            <w:shd w:fill="987200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113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</w:t>
            </w:r>
          </w:p>
        </w:tc>
        <w:tc>
          <w:tcPr>
            <w:tcBorders>
              <w:top w:color="987200" w:space="0" w:sz="4" w:val="dashed"/>
              <w:left w:color="ffffff" w:space="0" w:sz="4" w:val="single"/>
            </w:tcBorders>
            <w:shd w:fill="987200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13" w:righ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7" w:hRule="atLeast"/>
        </w:trPr>
        <w:tc>
          <w:tcPr>
            <w:tcBorders>
              <w:bottom w:color="9872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Govorna ili pisana vježba </w:t>
            </w:r>
          </w:p>
        </w:tc>
        <w:tc>
          <w:tcPr>
            <w:tcBorders>
              <w:bottom w:color="9872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9872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33f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 HJ A.8.1.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72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efc1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Stvarati prijateljsko i stvaralačko ozračje u razrednom odjelu, razvijati svijest o zajedničkom životu i radu, uspostavljati afirmativan odnos između učenika i učiteljice.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pisani sastavak trodjelne strukture u skladu sa zadanom prigodnom temom (početak školske godine – očekivanja). / Prepričavati događaje kronološkim slijedom. / Opisivati osobu ili predmet.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72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osr A.3.1., osr A.3.2., osr B.3.1., osr B.3.2.</w:t>
            </w:r>
          </w:p>
        </w:tc>
      </w:tr>
      <w:tr>
        <w:trPr>
          <w:trHeight w:val="491" w:hRule="atLeast"/>
        </w:trPr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Poticanje čitanja i djela za cjelovito čitanje</w:t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B.8.3.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OŠ HJ A.8.1.                  OŠ HJ A.8.2.                    OŠ HJ A.8.3.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Odabrati djela za cjelovito čitanje. Razgovarati o dobrobitima čitanja.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Posjećivati školsku knjižnicu. U suradnji s učiteljem odabirati djela za cjelovito čitanje. Čitati ulomke iz djela za cjelovito čitanje koja bi se mogla naći na popisu. Izvoditi zaključke o važnosti čitanja. Objašnjavati tematiku književnih djela koja se rado čitaju. Navoditi primjere iz kojih je vidljivo kako razvijati vlastiti čitateljski interes. Razgovarati o književnim djelima koja su čitana prošle školske godine.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osr A.3.1., osr A.3.2</w:t>
            </w:r>
          </w:p>
        </w:tc>
      </w:tr>
      <w:tr>
        <w:trPr>
          <w:trHeight w:val="841" w:hRule="atLeast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Ponavljanje sadržaja učenja prijašnjih razreda i početna procjena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A.7.5.   OŠ HJ A.7.6.  OŠ HJ B.7.4.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Ponoviti sadržaje učenja prethodnoga razreda i napisati početnu procjenu.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  <w:bottom w:color="9872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841" w:hRule="atLeast"/>
        </w:trPr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Razlistaj se</w:t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Antoine de Saint-Exupery, Mali princ            </w:t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b) Zvonimir Balog, Jutro</w:t>
            </w:r>
          </w:p>
          <w:p w:rsidR="00000000" w:rsidDel="00000000" w:rsidP="00000000" w:rsidRDefault="00000000" w:rsidRPr="00000000" w14:paraId="0000003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c) Marina Braović Hajdarović, Dupla briga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B.8.1., OŠ HJ B.8.2.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A.7.1., OŠ HJ A.7.2., OŠ HJ A.7.3., OŠ HJ A.7.4.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Opisati simboliku ruža. Analizirati odnos likova. Objasniti izraz “Treba suditi po djelima, a ne po riječima”. Napisati priču o svijetu iz kojeg dolazi Izraditi strip u tri kadra. Istražiti važnost i popularnost knjige te uobličiti prezentaciju.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Dovršiti započeti tekst odgovarajući na postavljena pitanja. Čitati tekst u sebi sa zadatkom. Odgovarati na pitanja s obrazloženjem. Crtati sunce pišući svoje aktivnosti i osobine. Stvarati nove riječi na temelju motiva – igra riječi. Pisati haiku poeziju upotrebljavajući novotvorenice. Usmeno izlagati na zadanu temu. Raspravljati o bontonu iznoseći primjere lijepoga ponašanja.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Savjetovati vršnjake kako uskladiti školske obveze i slobodno vrijeme. Napisati sastavak u kojemu iznose mišljenje o zadaćama. Čitati  i analizirati strip “Duple brige”. Navesti obilježja stripa. Predstaviti jednog hrvatskog autora stripa radom u skupini. Izraditi strip u digitalnom alatu.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  <w:bottom w:color="9872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2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a) osr A.3.1., osr A.3.2., osr B.3.1., osr B.3.2., uku A.3.3.</w:t>
            </w:r>
          </w:p>
          <w:p w:rsidR="00000000" w:rsidDel="00000000" w:rsidP="00000000" w:rsidRDefault="00000000" w:rsidRPr="00000000" w14:paraId="00000048">
            <w:pPr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b) ikt C.3.3., uku A.3.1., uku A.3.2.             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1" w:hRule="atLeast"/>
        </w:trPr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Rečenica - uvod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Rečenice prema priopćajnoj svrsi, prema izrečenosti subjekta, prema sastavu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Opisati rečenicu. Razlikovati rečenice prema priopćajnoj svrsi. Razlikovati rečenice prema izrečenosti subjekta. Razlikovati rečenice prema sastavu. Razlikovati jednostavnu od složene rečenice. Razlikovati načine sklapanja nezavisnosloženih i zavisnosloženih rečenica.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Imenovati gramatičko ustrojstvo rečenice. Objasniti  što je rečenica i navoditi primjere rečenica prema priopćajnoj svrsi. Objasniti vrste rečenica prema izrečenosti subjekta i navoditi primjere. Objasniti neoglagoljenu rečenicu i navoditi primjere. Objasniti vrste  rečenica prema sastavu i navoditi primjere. Prepoznati načine slaganja jednostavnih rečenica u složenu rečenicu. Slušati audiosažetak i ponoviti sadržaje učenja o rečenici. Oblikovati rečenice u novoj situaciji.</w:t>
            </w:r>
          </w:p>
        </w:tc>
        <w:tc>
          <w:tcPr>
            <w:tcBorders>
              <w:top w:color="987200" w:space="0" w:sz="4" w:val="single"/>
              <w:bottom w:color="9872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B.3.4., osr C.3.4.,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A.3.2., uku B.3.4,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C.3.4., ikt D.3.1.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D.3.3.</w:t>
            </w:r>
          </w:p>
          <w:p w:rsidR="00000000" w:rsidDel="00000000" w:rsidP="00000000" w:rsidRDefault="00000000" w:rsidRPr="00000000" w14:paraId="00000057">
            <w:pPr>
              <w:spacing w:before="12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1" w:hRule="atLeast"/>
        </w:trPr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Rasprava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A.8.4.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Raspravlja spontano ili u planiranoj i pripremljenoj raspravi. Razgovijetno govori primjenjujući govorne vrednote. Govori s uvjerenjem. Izbjegava pogreške u govoru.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Glumiti zadane uloge. Usmjereno gledati film i televizijsku debatu. Analizirati gledani sadržaj prema zadatcima. Surađivati u zajedničkom učenju novih sadržaja. Oblikovati točne bilješke na virtualnom zidu Padlet. Samostalno objašnjavati obilježja dobrog govora. Usustavljivati znanja s pomoću digitalnih kartica. Zapažati govorne vrednote u raspravljanju drugih. Provoditi govorni trening. Raspravljati argumentirano na zadanu tezu. Kritički se osvrtati na uspješnost rasprave.</w:t>
            </w:r>
          </w:p>
        </w:tc>
        <w:tc>
          <w:tcPr>
            <w:tcBorders>
              <w:top w:color="987200" w:space="0" w:sz="4" w:val="single"/>
              <w:bottom w:color="9872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C.3.4., uku B.3.4.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1" w:hRule="atLeast"/>
        </w:trPr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Projekt – </w:t>
            </w:r>
            <w:r w:rsidDel="00000000" w:rsidR="00000000" w:rsidRPr="00000000">
              <w:rPr>
                <w:i w:val="1"/>
                <w:rtl w:val="0"/>
              </w:rPr>
              <w:t xml:space="preserve">Moj dan u budućnosti </w:t>
            </w:r>
            <w:r w:rsidDel="00000000" w:rsidR="00000000" w:rsidRPr="00000000">
              <w:rPr>
                <w:rtl w:val="0"/>
              </w:rPr>
              <w:t xml:space="preserve">– dvominutni film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ind w:left="113" w:right="113" w:firstLine="0"/>
              <w:rPr>
                <w:b w:val="1"/>
                <w:color w:val="933f00"/>
              </w:rPr>
            </w:pPr>
            <w:r w:rsidDel="00000000" w:rsidR="00000000" w:rsidRPr="00000000">
              <w:rPr>
                <w:b w:val="1"/>
                <w:color w:val="933f00"/>
                <w:rtl w:val="0"/>
              </w:rPr>
              <w:t xml:space="preserve">OŠ HJ A.8.4.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Istražiti zadane podatke: sinopsis, scenarij, knjiga snimanja. Snimiti dvominutni film o jednom danu u budućnosti. Montirati film u dostupnim, besplatnim alatima.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A.3.2., uku A.3.1., uku A.3.3., uku A.3.4., uku B.3.4., uku B.3.1., uku B.3.2., ikt A.3.1.</w:t>
            </w:r>
          </w:p>
        </w:tc>
      </w:tr>
    </w:tbl>
    <w:p w:rsidR="00000000" w:rsidDel="00000000" w:rsidP="00000000" w:rsidRDefault="00000000" w:rsidRPr="00000000" w14:paraId="00000064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7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74"/>
        <w:gridCol w:w="4382"/>
        <w:gridCol w:w="5417"/>
        <w:tblGridChange w:id="0">
          <w:tblGrid>
            <w:gridCol w:w="5274"/>
            <w:gridCol w:w="4382"/>
            <w:gridCol w:w="5417"/>
          </w:tblGrid>
        </w:tblGridChange>
      </w:tblGrid>
      <w:tr>
        <w:trPr>
          <w:trHeight w:val="421" w:hRule="atLeast"/>
        </w:trPr>
        <w:tc>
          <w:tcPr>
            <w:gridSpan w:val="3"/>
            <w:tcBorders>
              <w:top w:color="987200" w:space="0" w:sz="4" w:val="single"/>
              <w:bottom w:color="987200" w:space="0" w:sz="4" w:val="dashed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987200"/>
                <w:rtl w:val="0"/>
              </w:rPr>
              <w:t xml:space="preserve">VREDNOVANJE</w:t>
            </w:r>
          </w:p>
        </w:tc>
      </w:tr>
      <w:tr>
        <w:trPr>
          <w:trHeight w:val="421" w:hRule="atLeast"/>
        </w:trPr>
        <w:tc>
          <w:tcPr>
            <w:tcBorders>
              <w:top w:color="987200" w:space="0" w:sz="4" w:val="dashed"/>
            </w:tcBorders>
            <w:shd w:fill="ffefc1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987200" w:space="0" w:sz="4" w:val="dashed"/>
            </w:tcBorders>
            <w:shd w:fill="ffe084" w:val="clea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987200" w:space="0" w:sz="4" w:val="dashed"/>
            </w:tcBorders>
            <w:shd w:fill="ffd147" w:val="clea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Jednominutno pitanje otvorenog tipa u vezi sa sadržajem aktivnosti. 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Učenik samovrednuje svoje uratke. Uspoređuje ih s uradcima drugih učenika. Komentira što je dobro napravio, a što je mogao bolje – projekt, rasprava. </w:t>
            </w:r>
          </w:p>
          <w:p w:rsidR="00000000" w:rsidDel="00000000" w:rsidP="00000000" w:rsidRDefault="00000000" w:rsidRPr="00000000" w14:paraId="00000071">
            <w:pPr>
              <w:spacing w:after="120" w:before="240" w:lineRule="auto"/>
              <w:ind w:lef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Vršnjačko vrednovanje timskoga rada i projekta.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Postavlja pitanja da bi razumio uputu. </w:t>
            </w:r>
          </w:p>
          <w:p w:rsidR="00000000" w:rsidDel="00000000" w:rsidP="00000000" w:rsidRDefault="00000000" w:rsidRPr="00000000" w14:paraId="00000073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Zaključuje o svom napretku na kraju teme. Analizira što nije usvojio i ostvario i vraća se na to.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početna procjena  </w:t>
            </w:r>
          </w:p>
          <w:p w:rsidR="00000000" w:rsidDel="00000000" w:rsidP="00000000" w:rsidRDefault="00000000" w:rsidRPr="00000000" w14:paraId="00000075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vrednovanje govorne ili pisane vježbe prema opisnicima</w:t>
            </w:r>
          </w:p>
          <w:p w:rsidR="00000000" w:rsidDel="00000000" w:rsidP="00000000" w:rsidRDefault="00000000" w:rsidRPr="00000000" w14:paraId="00000076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77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 projekt – prema opisnicima </w:t>
            </w:r>
          </w:p>
          <w:p w:rsidR="00000000" w:rsidDel="00000000" w:rsidP="00000000" w:rsidRDefault="00000000" w:rsidRPr="00000000" w14:paraId="00000078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color w:val="987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92.0" w:type="dxa"/>
        <w:jc w:val="left"/>
        <w:tblInd w:w="0.0" w:type="dxa"/>
        <w:tblBorders>
          <w:top w:color="e84c22" w:space="0" w:sz="8" w:val="single"/>
          <w:left w:color="b64926" w:space="0" w:sz="8" w:val="single"/>
          <w:bottom w:color="e84c22" w:space="0" w:sz="8" w:val="single"/>
          <w:right w:color="b64926" w:space="0" w:sz="8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righ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color w:val="987200"/>
              </w:rPr>
            </w:pPr>
            <w:r w:rsidDel="00000000" w:rsidR="00000000" w:rsidRPr="00000000">
              <w:rPr>
                <w:color w:val="987200"/>
                <w:rtl w:val="0"/>
              </w:rPr>
              <w:t xml:space="preserve">SREDSTVA, ALATI</w:t>
            </w:r>
          </w:p>
        </w:tc>
        <w:tc>
          <w:tcPr>
            <w:tcBorders>
              <w:lef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113" w:firstLine="0"/>
              <w:rPr>
                <w:b w:val="0"/>
                <w:color w:val="987200"/>
                <w:sz w:val="28"/>
                <w:szCs w:val="28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Prema predviđenim aktivnostima: nastavni listići, PowerPoint, Padlet, Wordwall, Kahoot, Wizer.me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right w:color="987200" w:space="0" w:sz="4" w:val="dashed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color w:val="987200"/>
              </w:rPr>
            </w:pPr>
            <w:r w:rsidDel="00000000" w:rsidR="00000000" w:rsidRPr="00000000">
              <w:rPr>
                <w:color w:val="987200"/>
                <w:rtl w:val="0"/>
              </w:rPr>
              <w:t xml:space="preserve">IZVORI</w:t>
            </w:r>
          </w:p>
        </w:tc>
        <w:tc>
          <w:tcPr>
            <w:tcBorders>
              <w:left w:color="987200" w:space="0" w:sz="4" w:val="dashed"/>
            </w:tcBorders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color w:val="987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73.000000000002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537"/>
        <w:tblGridChange w:id="0">
          <w:tblGrid>
            <w:gridCol w:w="7536"/>
            <w:gridCol w:w="75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987200" w:space="0" w:sz="4" w:val="single"/>
              <w:bottom w:color="987200" w:space="0" w:sz="4" w:val="dashed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987200"/>
                <w:rtl w:val="0"/>
              </w:rPr>
              <w:t xml:space="preserve">POVEZANOST S MEĐUPREDMETNIM TEMAMA</w:t>
            </w:r>
          </w:p>
        </w:tc>
      </w:tr>
      <w:tr>
        <w:trPr>
          <w:trHeight w:val="421" w:hRule="atLeast"/>
        </w:trPr>
        <w:tc>
          <w:tcPr>
            <w:tcBorders>
              <w:top w:color="987200" w:space="0" w:sz="4" w:val="dashed"/>
            </w:tcBorders>
            <w:shd w:fill="ffefc1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A.3.3. Kreativno mišljenje- učenik samostalno oblikuje svoje ideje i kreativno pristupa rješavanju problema.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872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Građanski odgoj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 A.3.3. Promiče ljudska prava.</w:t>
            </w:r>
          </w:p>
        </w:tc>
        <w:tc>
          <w:tcPr>
            <w:tcBorders>
              <w:top w:color="987200" w:space="0" w:sz="4" w:val="dashed"/>
            </w:tcBorders>
            <w:shd w:fill="ffefc1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Osobni i socijalni razvoj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A.3.4. Upravlja svojim obrazovnim i profesionalnim putem.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72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254.0" w:type="dxa"/>
        <w:jc w:val="left"/>
        <w:tblInd w:w="-618.0" w:type="dxa"/>
        <w:tblBorders>
          <w:top w:color="e84c22" w:space="0" w:sz="8" w:val="single"/>
          <w:left w:color="b64926" w:space="0" w:sz="8" w:val="single"/>
          <w:bottom w:color="e84c22" w:space="0" w:sz="8" w:val="single"/>
          <w:right w:color="b64926" w:space="0" w:sz="8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7792"/>
        <w:gridCol w:w="7462"/>
        <w:tblGridChange w:id="0">
          <w:tblGrid>
            <w:gridCol w:w="7792"/>
            <w:gridCol w:w="7462"/>
          </w:tblGrid>
        </w:tblGridChange>
      </w:tblGrid>
      <w:tr>
        <w:trPr>
          <w:trHeight w:val="479" w:hRule="atLeast"/>
        </w:trPr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170" w:firstLine="0"/>
              <w:rPr/>
            </w:pPr>
            <w:r w:rsidDel="00000000" w:rsidR="00000000" w:rsidRPr="00000000">
              <w:rPr>
                <w:rtl w:val="0"/>
              </w:rPr>
              <w:t xml:space="preserve">SADRŽAJI UČENJA</w:t>
            </w:r>
          </w:p>
        </w:tc>
      </w:tr>
      <w:tr>
        <w:trPr>
          <w:trHeight w:val="479" w:hRule="atLeast"/>
        </w:trPr>
        <w:tc>
          <w:tcPr>
            <w:gridSpan w:val="2"/>
            <w:tcBorders>
              <w:top w:color="000000" w:space="0" w:sz="0" w:val="nil"/>
              <w:bottom w:color="9872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7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jednostavna rečenica, jednostavna neproširena rečenica, jednostavna proširena rečenica, neoglagoljena rečenica, besubjektna rečenica, složena rečenica, rečenice prema sastavu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7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načini sklapanja rečenica: nizanje, povezivanje, uvrštavanje</w:t>
            </w:r>
          </w:p>
        </w:tc>
      </w:tr>
      <w:tr>
        <w:trPr>
          <w:trHeight w:val="479" w:hRule="atLeast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ORGANIZACIJA UČENJA I POUČAVANJA</w:t>
            </w:r>
          </w:p>
        </w:tc>
        <w:tc>
          <w:tcPr>
            <w:tcBorders>
              <w:top w:color="9872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right w:color="ffffff" w:space="0" w:sz="4" w:val="single"/>
            </w:tcBorders>
            <w:shd w:fill="987200" w:val="clear"/>
            <w:vAlign w:val="center"/>
          </w:tcPr>
          <w:p w:rsidR="00000000" w:rsidDel="00000000" w:rsidP="00000000" w:rsidRDefault="00000000" w:rsidRPr="00000000" w14:paraId="0000009B">
            <w:pPr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left w:color="ffffff" w:space="0" w:sz="4" w:val="single"/>
            </w:tcBorders>
            <w:shd w:fill="987200" w:val="clear"/>
            <w:vAlign w:val="center"/>
          </w:tcPr>
          <w:p w:rsidR="00000000" w:rsidDel="00000000" w:rsidP="00000000" w:rsidRDefault="00000000" w:rsidRPr="00000000" w14:paraId="0000009C">
            <w:pPr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right w:color="9872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pronalaženje sličnosti i razlika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rezimiranje i bilježenje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postavljanje ciljeva i davanje povratnih informacija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suradničko učenje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otkrivanje i rješavanje problema</w:t>
            </w:r>
          </w:p>
        </w:tc>
        <w:tc>
          <w:tcPr>
            <w:tcBorders>
              <w:left w:color="9872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metoda usmenog izlaganja: objašnjavanje, izvješćivanje, glasno razmišljanje                               – metoda pisanja: bilježenje ključnih dijelova sadržaja, citiranje, konceptiranje parafraziranjem, sažeto konceptiranje                                                                                                      – metoda izrade i interpretiranja umnih mapa                                                                                            – metoda čitanja i rada na tekstu: rad s udžbenikom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47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